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2444" w14:textId="77777777" w:rsidR="008C33ED" w:rsidRDefault="008C33ED" w:rsidP="008C33ED">
      <w:pPr>
        <w:jc w:val="right"/>
        <w:rPr>
          <w:rFonts w:eastAsia="Times New Roman" w:cs="Times New Roman"/>
          <w:b/>
          <w:szCs w:val="24"/>
        </w:rPr>
      </w:pPr>
      <w:r>
        <w:rPr>
          <w:rFonts w:eastAsia="Times New Roman" w:cs="Times New Roman"/>
          <w:b/>
          <w:szCs w:val="24"/>
        </w:rPr>
        <w:t>ADOPTED – JULY 28, 2026</w:t>
      </w:r>
    </w:p>
    <w:p w14:paraId="13A105E5" w14:textId="77777777" w:rsidR="008C33ED" w:rsidRDefault="008C33ED" w:rsidP="008C33ED">
      <w:pPr>
        <w:jc w:val="right"/>
        <w:rPr>
          <w:rFonts w:eastAsia="Times New Roman" w:cs="Times New Roman"/>
          <w:b/>
          <w:szCs w:val="24"/>
        </w:rPr>
      </w:pPr>
      <w:r>
        <w:rPr>
          <w:rFonts w:eastAsia="Times New Roman" w:cs="Times New Roman"/>
          <w:b/>
          <w:szCs w:val="24"/>
        </w:rPr>
        <w:t>AGENDA ITEM NO. 43</w:t>
      </w:r>
    </w:p>
    <w:p w14:paraId="236BD6B8" w14:textId="77777777" w:rsidR="008C33ED" w:rsidRDefault="008C33ED" w:rsidP="008C33ED">
      <w:pPr>
        <w:rPr>
          <w:rFonts w:cs="Times New Roman"/>
          <w:szCs w:val="24"/>
        </w:rPr>
      </w:pPr>
    </w:p>
    <w:p w14:paraId="7B1910FB" w14:textId="77777777" w:rsidR="008C33ED" w:rsidRDefault="008C33ED" w:rsidP="008C33ED">
      <w:pPr>
        <w:rPr>
          <w:bCs/>
          <w:szCs w:val="24"/>
        </w:rPr>
      </w:pPr>
      <w:r>
        <w:rPr>
          <w:bCs/>
          <w:szCs w:val="24"/>
        </w:rPr>
        <w:t>Introduced by the Law &amp; Courts and Finance Committees of the:</w:t>
      </w:r>
    </w:p>
    <w:p w14:paraId="0BAD599C" w14:textId="77777777" w:rsidR="008C33ED" w:rsidRDefault="008C33ED" w:rsidP="008C33ED">
      <w:pPr>
        <w:jc w:val="center"/>
        <w:rPr>
          <w:bCs/>
          <w:szCs w:val="24"/>
        </w:rPr>
      </w:pPr>
    </w:p>
    <w:p w14:paraId="145362DB" w14:textId="77777777" w:rsidR="008C33ED" w:rsidRDefault="008C33ED" w:rsidP="008C33ED">
      <w:pPr>
        <w:jc w:val="center"/>
        <w:rPr>
          <w:bCs/>
          <w:szCs w:val="24"/>
        </w:rPr>
      </w:pPr>
      <w:r>
        <w:rPr>
          <w:bCs/>
          <w:szCs w:val="24"/>
        </w:rPr>
        <w:t>INGHAM COUNTY BOARD OF COMMISSIONERS</w:t>
      </w:r>
    </w:p>
    <w:p w14:paraId="5E043357" w14:textId="77777777" w:rsidR="008C33ED" w:rsidRPr="00A90DB2" w:rsidRDefault="008C33ED" w:rsidP="00A90DB2">
      <w:pPr>
        <w:jc w:val="center"/>
        <w:rPr>
          <w:b/>
          <w:szCs w:val="24"/>
        </w:rPr>
      </w:pPr>
    </w:p>
    <w:p w14:paraId="62326AE4" w14:textId="798DFB7D" w:rsidR="008C33ED" w:rsidRPr="00A90DB2" w:rsidRDefault="00A90DB2" w:rsidP="00A90DB2">
      <w:pPr>
        <w:jc w:val="center"/>
        <w:rPr>
          <w:b/>
          <w:szCs w:val="24"/>
        </w:rPr>
      </w:pPr>
      <w:r w:rsidRPr="00A90DB2">
        <w:rPr>
          <w:b/>
          <w:szCs w:val="24"/>
        </w:rPr>
        <w:t>RESOLUTION TO AUTHORIZE A CO-COUNSEL AGREEMENT WITH CIVIL RIGHTS CORPS FOR THE PURPOSES OF LITIGATING APPEALS, HABEAS PETITIONS, AND RELATED MATTERS CHALLENGING PRETRIAL DETENTION IN INGHAM COUNTY FOR THE OFFICE OF THE PUBLIC DEFENDER</w:t>
      </w:r>
    </w:p>
    <w:p w14:paraId="433BA84F" w14:textId="77777777" w:rsidR="008C33ED" w:rsidRDefault="008C33ED" w:rsidP="008C33ED">
      <w:pPr>
        <w:jc w:val="center"/>
        <w:rPr>
          <w:b/>
          <w:szCs w:val="24"/>
        </w:rPr>
      </w:pPr>
    </w:p>
    <w:p w14:paraId="62B4C5B9" w14:textId="77777777" w:rsidR="008C33ED" w:rsidRDefault="008C33ED" w:rsidP="008C33ED">
      <w:pPr>
        <w:tabs>
          <w:tab w:val="left" w:pos="6180"/>
        </w:tabs>
        <w:jc w:val="center"/>
        <w:rPr>
          <w:rFonts w:cs="Times New Roman"/>
          <w:b/>
          <w:szCs w:val="24"/>
        </w:rPr>
      </w:pPr>
      <w:r>
        <w:rPr>
          <w:rFonts w:cs="Times New Roman"/>
          <w:b/>
          <w:szCs w:val="24"/>
        </w:rPr>
        <w:t>RESOLUTION #26 – 375</w:t>
      </w:r>
    </w:p>
    <w:p w14:paraId="4C12410B" w14:textId="77777777" w:rsidR="008C33ED" w:rsidRDefault="008C33ED" w:rsidP="008C33ED">
      <w:pPr>
        <w:tabs>
          <w:tab w:val="left" w:pos="6180"/>
        </w:tabs>
        <w:jc w:val="center"/>
        <w:rPr>
          <w:rFonts w:cs="Times New Roman"/>
          <w:b/>
          <w:szCs w:val="24"/>
        </w:rPr>
      </w:pPr>
    </w:p>
    <w:p w14:paraId="73561FFB" w14:textId="77777777" w:rsidR="008C33ED" w:rsidRDefault="008C33ED" w:rsidP="008C33ED">
      <w:pPr>
        <w:pStyle w:val="NormalWeb"/>
        <w:rPr>
          <w:color w:val="000000"/>
        </w:rPr>
      </w:pPr>
      <w:proofErr w:type="gramStart"/>
      <w:r>
        <w:rPr>
          <w:color w:val="000000"/>
        </w:rPr>
        <w:t>WHEREAS,</w:t>
      </w:r>
      <w:proofErr w:type="gramEnd"/>
      <w:r>
        <w:rPr>
          <w:color w:val="000000"/>
        </w:rPr>
        <w:t xml:space="preserve"> the Civil Rights Corps is a national </w:t>
      </w:r>
      <w:proofErr w:type="gramStart"/>
      <w:r>
        <w:rPr>
          <w:color w:val="000000"/>
        </w:rPr>
        <w:t>Non-profit</w:t>
      </w:r>
      <w:proofErr w:type="gramEnd"/>
      <w:r>
        <w:rPr>
          <w:color w:val="000000"/>
        </w:rPr>
        <w:t xml:space="preserve"> founded in 2016 to challenge systemic injustice in the U. S. Legal System; and</w:t>
      </w:r>
    </w:p>
    <w:p w14:paraId="4A15C9FB" w14:textId="77777777" w:rsidR="008C33ED" w:rsidRDefault="008C33ED" w:rsidP="008C33ED">
      <w:pPr>
        <w:pStyle w:val="NormalWeb"/>
        <w:rPr>
          <w:color w:val="000000"/>
        </w:rPr>
      </w:pPr>
      <w:proofErr w:type="gramStart"/>
      <w:r>
        <w:rPr>
          <w:color w:val="000000"/>
        </w:rPr>
        <w:t>WHEREAS,</w:t>
      </w:r>
      <w:proofErr w:type="gramEnd"/>
      <w:r>
        <w:rPr>
          <w:color w:val="000000"/>
        </w:rPr>
        <w:t xml:space="preserve"> the Civil Rights Corps is asking to enter into a co-counsel agreement with the Ingham County Office of the Public Defender for </w:t>
      </w:r>
      <w:bookmarkStart w:id="0" w:name="_Hlk234501880"/>
      <w:r>
        <w:rPr>
          <w:color w:val="000000"/>
        </w:rPr>
        <w:t>the purpose of litigating appeals, habeas petitions and related matters challenging pretrial detention</w:t>
      </w:r>
      <w:bookmarkEnd w:id="0"/>
      <w:r>
        <w:rPr>
          <w:color w:val="000000"/>
        </w:rPr>
        <w:t xml:space="preserve">; and </w:t>
      </w:r>
    </w:p>
    <w:p w14:paraId="40F28E4E" w14:textId="77777777" w:rsidR="008C33ED" w:rsidRDefault="008C33ED" w:rsidP="008C33ED">
      <w:pPr>
        <w:pStyle w:val="NormalWeb"/>
        <w:rPr>
          <w:color w:val="000000"/>
        </w:rPr>
      </w:pPr>
      <w:proofErr w:type="gramStart"/>
      <w:r>
        <w:rPr>
          <w:color w:val="000000"/>
        </w:rPr>
        <w:t>WHEREAS,</w:t>
      </w:r>
      <w:proofErr w:type="gramEnd"/>
      <w:r>
        <w:rPr>
          <w:color w:val="000000"/>
        </w:rPr>
        <w:t xml:space="preserve"> the Office of the Public Defender will maintain their role as lead counsel while the two entities will participate in all duties and responsibilities and all aspects of the pretrial detention litigation; and</w:t>
      </w:r>
    </w:p>
    <w:p w14:paraId="344A244C" w14:textId="77777777" w:rsidR="008C33ED" w:rsidRDefault="008C33ED" w:rsidP="008C33ED">
      <w:pPr>
        <w:pStyle w:val="NormalWeb"/>
        <w:rPr>
          <w:color w:val="000000"/>
        </w:rPr>
      </w:pPr>
      <w:proofErr w:type="gramStart"/>
      <w:r>
        <w:rPr>
          <w:color w:val="000000"/>
        </w:rPr>
        <w:t>WHEREAS,</w:t>
      </w:r>
      <w:proofErr w:type="gramEnd"/>
      <w:r>
        <w:rPr>
          <w:color w:val="000000"/>
        </w:rPr>
        <w:t xml:space="preserve"> the Office of the Public Defender and the Civil Rights Corps will be solely responsible for its own actions in connection with jointly litigated cases; and</w:t>
      </w:r>
    </w:p>
    <w:p w14:paraId="1B5F48E9" w14:textId="77777777" w:rsidR="008C33ED" w:rsidRDefault="008C33ED" w:rsidP="008C33ED">
      <w:pPr>
        <w:pStyle w:val="NormalWeb"/>
        <w:rPr>
          <w:color w:val="000000"/>
        </w:rPr>
      </w:pPr>
      <w:proofErr w:type="gramStart"/>
      <w:r>
        <w:rPr>
          <w:color w:val="000000"/>
        </w:rPr>
        <w:t>WHEREAS,</w:t>
      </w:r>
      <w:proofErr w:type="gramEnd"/>
      <w:r>
        <w:rPr>
          <w:color w:val="000000"/>
        </w:rPr>
        <w:t xml:space="preserve"> </w:t>
      </w:r>
      <w:bookmarkStart w:id="1" w:name="_Hlk234501901"/>
      <w:r>
        <w:rPr>
          <w:color w:val="000000"/>
        </w:rPr>
        <w:t>the Office of the Public Defender and the Civil Rights Corps will carry out its work on the jointly litigated cases in compliance with the applicable law, rules of court, and the Michigan Rules of Professional Conduct</w:t>
      </w:r>
      <w:bookmarkEnd w:id="1"/>
      <w:r>
        <w:rPr>
          <w:color w:val="000000"/>
        </w:rPr>
        <w:t xml:space="preserve">; and </w:t>
      </w:r>
    </w:p>
    <w:p w14:paraId="317CC932" w14:textId="77777777" w:rsidR="008C33ED" w:rsidRDefault="008C33ED" w:rsidP="008C33ED">
      <w:pPr>
        <w:pStyle w:val="NormalWeb"/>
        <w:rPr>
          <w:color w:val="000000"/>
        </w:rPr>
      </w:pPr>
      <w:proofErr w:type="gramStart"/>
      <w:r>
        <w:rPr>
          <w:color w:val="000000"/>
        </w:rPr>
        <w:t>WHEREAS,</w:t>
      </w:r>
      <w:proofErr w:type="gramEnd"/>
      <w:r>
        <w:rPr>
          <w:color w:val="000000"/>
        </w:rPr>
        <w:t xml:space="preserve"> the Office of the Public Defender and the Civil Rights Corps will each maintain their own professional liability coverage; and</w:t>
      </w:r>
    </w:p>
    <w:p w14:paraId="1B3F3FA2" w14:textId="77777777" w:rsidR="008C33ED" w:rsidRDefault="008C33ED" w:rsidP="008C33ED">
      <w:pPr>
        <w:pStyle w:val="NormalWeb"/>
        <w:rPr>
          <w:color w:val="000000"/>
        </w:rPr>
      </w:pPr>
      <w:proofErr w:type="gramStart"/>
      <w:r>
        <w:rPr>
          <w:color w:val="000000"/>
        </w:rPr>
        <w:t>WHEREAS,</w:t>
      </w:r>
      <w:proofErr w:type="gramEnd"/>
      <w:r>
        <w:rPr>
          <w:color w:val="000000"/>
        </w:rPr>
        <w:t xml:space="preserve"> the Office of the Public Defender and the Civil Rights Corps will pay for its own overhead costs such as rent, telephone calls, secretarial time or payment of salaries for attorneys, or paralegals working on jointly litigated cases; and</w:t>
      </w:r>
    </w:p>
    <w:p w14:paraId="6478F3BB" w14:textId="77777777" w:rsidR="008C33ED" w:rsidRDefault="008C33ED" w:rsidP="008C33ED">
      <w:pPr>
        <w:pStyle w:val="NormalWeb"/>
        <w:rPr>
          <w:color w:val="000000"/>
        </w:rPr>
      </w:pPr>
      <w:proofErr w:type="gramStart"/>
      <w:r>
        <w:rPr>
          <w:color w:val="000000"/>
        </w:rPr>
        <w:t>WHEREAS,</w:t>
      </w:r>
      <w:proofErr w:type="gramEnd"/>
      <w:r>
        <w:rPr>
          <w:color w:val="000000"/>
        </w:rPr>
        <w:t xml:space="preserve"> the Office of the Public Defender will approve any additional litigation costs incurred by the Civil Rights Corps prior to </w:t>
      </w:r>
      <w:proofErr w:type="gramStart"/>
      <w:r>
        <w:rPr>
          <w:color w:val="000000"/>
        </w:rPr>
        <w:t>be</w:t>
      </w:r>
      <w:proofErr w:type="gramEnd"/>
      <w:r>
        <w:rPr>
          <w:color w:val="000000"/>
        </w:rPr>
        <w:t xml:space="preserve"> expended; and</w:t>
      </w:r>
    </w:p>
    <w:p w14:paraId="0F2B2A86" w14:textId="77777777" w:rsidR="008C33ED" w:rsidRDefault="008C33ED" w:rsidP="008C33ED">
      <w:pPr>
        <w:pStyle w:val="NormalWeb"/>
        <w:rPr>
          <w:color w:val="000000"/>
        </w:rPr>
      </w:pPr>
      <w:proofErr w:type="gramStart"/>
      <w:r>
        <w:rPr>
          <w:color w:val="000000"/>
        </w:rPr>
        <w:t>WHEREAS,</w:t>
      </w:r>
      <w:proofErr w:type="gramEnd"/>
      <w:r>
        <w:rPr>
          <w:color w:val="000000"/>
        </w:rPr>
        <w:t xml:space="preserve"> such costs will be negligible and are available through the 2025-2026 MIDC Compliance Plan.</w:t>
      </w:r>
    </w:p>
    <w:p w14:paraId="060B0524" w14:textId="77777777" w:rsidR="008C33ED" w:rsidRDefault="008C33ED" w:rsidP="008C33ED">
      <w:pPr>
        <w:pStyle w:val="NormalWeb"/>
        <w:rPr>
          <w:color w:val="000000"/>
        </w:rPr>
      </w:pPr>
      <w:proofErr w:type="gramStart"/>
      <w:r>
        <w:rPr>
          <w:color w:val="000000"/>
        </w:rPr>
        <w:lastRenderedPageBreak/>
        <w:t>THEREFORE</w:t>
      </w:r>
      <w:proofErr w:type="gramEnd"/>
      <w:r>
        <w:rPr>
          <w:color w:val="000000"/>
        </w:rPr>
        <w:t xml:space="preserve"> BE IT </w:t>
      </w:r>
      <w:proofErr w:type="gramStart"/>
      <w:r>
        <w:rPr>
          <w:color w:val="000000"/>
        </w:rPr>
        <w:t>RESOLVED,</w:t>
      </w:r>
      <w:proofErr w:type="gramEnd"/>
      <w:r>
        <w:rPr>
          <w:color w:val="000000"/>
        </w:rPr>
        <w:t xml:space="preserve"> that the Ingham County Board of Commissioners hereby authorizes an agreement between the Civil Right Corps and the Office of the Public Defender to commence on August 1, </w:t>
      </w:r>
      <w:proofErr w:type="gramStart"/>
      <w:r>
        <w:rPr>
          <w:color w:val="000000"/>
        </w:rPr>
        <w:t>2026</w:t>
      </w:r>
      <w:proofErr w:type="gramEnd"/>
      <w:r>
        <w:rPr>
          <w:color w:val="000000"/>
        </w:rPr>
        <w:t xml:space="preserve"> with the agreement for either party to terminate upon 30 days’ notice. </w:t>
      </w:r>
    </w:p>
    <w:p w14:paraId="6FD0DADE" w14:textId="77777777" w:rsidR="008C33ED" w:rsidRDefault="008C33ED" w:rsidP="008C33ED">
      <w:pPr>
        <w:rPr>
          <w:szCs w:val="24"/>
        </w:rPr>
      </w:pPr>
      <w:r>
        <w:rPr>
          <w:szCs w:val="24"/>
        </w:rPr>
        <w:t xml:space="preserve">BE IT </w:t>
      </w:r>
      <w:proofErr w:type="gramStart"/>
      <w:r>
        <w:rPr>
          <w:szCs w:val="24"/>
        </w:rPr>
        <w:t>FURTHER RESOLVED,</w:t>
      </w:r>
      <w:proofErr w:type="gramEnd"/>
      <w:r>
        <w:rPr>
          <w:szCs w:val="24"/>
        </w:rPr>
        <w:t xml:space="preserve"> that the Ingham County Board of Commissioners authorizes the Board Chairperson to sign any necessary documents that are consistent with this resolution and approved as to form by the County Attorney.</w:t>
      </w:r>
    </w:p>
    <w:p w14:paraId="3A69579B" w14:textId="77777777" w:rsidR="008C33ED" w:rsidRDefault="008C33ED" w:rsidP="008C33ED">
      <w:pPr>
        <w:rPr>
          <w:rFonts w:cs="Times New Roman"/>
          <w:szCs w:val="24"/>
        </w:rPr>
      </w:pPr>
    </w:p>
    <w:p w14:paraId="7652B0F1" w14:textId="77777777" w:rsidR="008C33ED" w:rsidRPr="00E046C4" w:rsidRDefault="008C33ED" w:rsidP="008C33ED">
      <w:pPr>
        <w:ind w:right="-720"/>
        <w:rPr>
          <w:rFonts w:eastAsia="Times New Roman" w:cs="Times New Roman"/>
          <w:szCs w:val="24"/>
        </w:rPr>
      </w:pPr>
      <w:r w:rsidRPr="00E046C4">
        <w:rPr>
          <w:rFonts w:eastAsia="Times New Roman" w:cs="Times New Roman"/>
          <w:b/>
          <w:szCs w:val="24"/>
        </w:rPr>
        <w:t>LAW &amp; COURTS:  Yeas</w:t>
      </w:r>
      <w:r w:rsidRPr="00E046C4">
        <w:rPr>
          <w:rFonts w:eastAsia="Times New Roman" w:cs="Times New Roman"/>
          <w:szCs w:val="24"/>
        </w:rPr>
        <w:t>:  Polsdofer,</w:t>
      </w:r>
      <w:r>
        <w:rPr>
          <w:rFonts w:eastAsia="Times New Roman" w:cs="Times New Roman"/>
          <w:szCs w:val="24"/>
        </w:rPr>
        <w:t xml:space="preserve"> Willis, </w:t>
      </w:r>
      <w:r w:rsidRPr="00E046C4">
        <w:rPr>
          <w:rFonts w:eastAsia="Times New Roman" w:cs="Times New Roman"/>
          <w:szCs w:val="24"/>
        </w:rPr>
        <w:t xml:space="preserve">Peña, Cahill, </w:t>
      </w:r>
      <w:r>
        <w:rPr>
          <w:rFonts w:eastAsia="Times New Roman" w:cs="Times New Roman"/>
          <w:szCs w:val="24"/>
        </w:rPr>
        <w:t xml:space="preserve">Lawrence, </w:t>
      </w:r>
      <w:r w:rsidRPr="00E046C4">
        <w:rPr>
          <w:rFonts w:eastAsia="Times New Roman" w:cs="Times New Roman"/>
          <w:szCs w:val="24"/>
        </w:rPr>
        <w:t>Johnson</w:t>
      </w:r>
    </w:p>
    <w:p w14:paraId="5D5B135F" w14:textId="77777777" w:rsidR="008C33ED" w:rsidRPr="00E046C4" w:rsidRDefault="008C33ED" w:rsidP="008C33ED">
      <w:pPr>
        <w:rPr>
          <w:rFonts w:eastAsia="Times New Roman" w:cs="Times New Roman"/>
          <w:b/>
          <w:szCs w:val="24"/>
        </w:rPr>
      </w:pPr>
      <w:r w:rsidRPr="00344B79">
        <w:rPr>
          <w:rFonts w:eastAsia="Times New Roman" w:cs="Times New Roman"/>
          <w:szCs w:val="24"/>
        </w:rPr>
        <w:t xml:space="preserve">          </w:t>
      </w:r>
      <w:r w:rsidRPr="00E046C4">
        <w:rPr>
          <w:rFonts w:eastAsia="Times New Roman" w:cs="Times New Roman"/>
          <w:b/>
          <w:szCs w:val="24"/>
        </w:rPr>
        <w:t>Nays</w:t>
      </w:r>
      <w:r w:rsidRPr="00E046C4">
        <w:rPr>
          <w:rFonts w:eastAsia="Times New Roman" w:cs="Times New Roman"/>
          <w:szCs w:val="24"/>
        </w:rPr>
        <w:t>:  None</w:t>
      </w:r>
      <w:r>
        <w:rPr>
          <w:rFonts w:eastAsia="Times New Roman" w:cs="Times New Roman"/>
          <w:szCs w:val="24"/>
        </w:rPr>
        <w:t xml:space="preserve">     </w:t>
      </w:r>
      <w:r w:rsidRPr="00E046C4">
        <w:rPr>
          <w:rFonts w:eastAsia="Times New Roman" w:cs="Times New Roman"/>
          <w:b/>
          <w:szCs w:val="24"/>
        </w:rPr>
        <w:t>Absent:</w:t>
      </w:r>
      <w:r w:rsidRPr="00E046C4">
        <w:rPr>
          <w:rFonts w:eastAsia="Times New Roman" w:cs="Times New Roman"/>
          <w:szCs w:val="24"/>
        </w:rPr>
        <w:t xml:space="preserve">  </w:t>
      </w:r>
      <w:r>
        <w:rPr>
          <w:rFonts w:eastAsia="Times New Roman" w:cs="Times New Roman"/>
          <w:szCs w:val="24"/>
        </w:rPr>
        <w:t xml:space="preserve">Trubac, Schafer     </w:t>
      </w:r>
      <w:proofErr w:type="gramStart"/>
      <w:r>
        <w:rPr>
          <w:rFonts w:eastAsia="Times New Roman" w:cs="Times New Roman"/>
          <w:szCs w:val="24"/>
        </w:rPr>
        <w:t>A</w:t>
      </w:r>
      <w:r w:rsidRPr="00E046C4">
        <w:rPr>
          <w:rFonts w:eastAsia="Times New Roman" w:cs="Times New Roman"/>
          <w:b/>
          <w:szCs w:val="24"/>
        </w:rPr>
        <w:t>pproved</w:t>
      </w:r>
      <w:r>
        <w:rPr>
          <w:rFonts w:eastAsia="Times New Roman" w:cs="Times New Roman"/>
          <w:b/>
          <w:szCs w:val="24"/>
        </w:rPr>
        <w:t xml:space="preserve"> </w:t>
      </w:r>
      <w:r w:rsidRPr="00E046C4">
        <w:rPr>
          <w:rFonts w:eastAsia="Times New Roman" w:cs="Times New Roman"/>
          <w:b/>
          <w:szCs w:val="24"/>
        </w:rPr>
        <w:t xml:space="preserve"> 0</w:t>
      </w:r>
      <w:r>
        <w:rPr>
          <w:rFonts w:eastAsia="Times New Roman" w:cs="Times New Roman"/>
          <w:b/>
          <w:szCs w:val="24"/>
        </w:rPr>
        <w:t>7</w:t>
      </w:r>
      <w:proofErr w:type="gramEnd"/>
      <w:r w:rsidRPr="00E046C4">
        <w:rPr>
          <w:rFonts w:eastAsia="Times New Roman" w:cs="Times New Roman"/>
          <w:b/>
          <w:szCs w:val="24"/>
        </w:rPr>
        <w:t>/</w:t>
      </w:r>
      <w:r>
        <w:rPr>
          <w:rFonts w:eastAsia="Times New Roman" w:cs="Times New Roman"/>
          <w:b/>
          <w:szCs w:val="24"/>
        </w:rPr>
        <w:t>16</w:t>
      </w:r>
      <w:r w:rsidRPr="00E046C4">
        <w:rPr>
          <w:rFonts w:eastAsia="Times New Roman" w:cs="Times New Roman"/>
          <w:b/>
          <w:szCs w:val="24"/>
        </w:rPr>
        <w:t>/26</w:t>
      </w:r>
    </w:p>
    <w:p w14:paraId="0A030D3D" w14:textId="77777777" w:rsidR="008C33ED" w:rsidRDefault="008C33ED" w:rsidP="008C33ED">
      <w:pPr>
        <w:rPr>
          <w:rFonts w:eastAsia="Times New Roman" w:cs="Times New Roman"/>
          <w:szCs w:val="24"/>
        </w:rPr>
      </w:pPr>
    </w:p>
    <w:p w14:paraId="321F9BF4" w14:textId="77777777" w:rsidR="008C33ED" w:rsidRPr="001C5D48" w:rsidRDefault="008C33ED" w:rsidP="008C33ED">
      <w:pPr>
        <w:spacing w:line="276" w:lineRule="auto"/>
        <w:rPr>
          <w:rFonts w:eastAsia="Times New Roman" w:cs="Times New Roman"/>
          <w:szCs w:val="24"/>
        </w:rPr>
      </w:pPr>
      <w:r w:rsidRPr="001C5D48">
        <w:rPr>
          <w:rFonts w:eastAsia="Times New Roman" w:cs="Times New Roman"/>
          <w:b/>
          <w:szCs w:val="24"/>
        </w:rPr>
        <w:t>FINANCE</w:t>
      </w:r>
      <w:proofErr w:type="gramStart"/>
      <w:r w:rsidRPr="001C5D48">
        <w:rPr>
          <w:rFonts w:eastAsia="Times New Roman" w:cs="Times New Roman"/>
          <w:b/>
          <w:szCs w:val="24"/>
        </w:rPr>
        <w:t>:  Yeas:</w:t>
      </w:r>
      <w:r w:rsidRPr="001C5D48">
        <w:rPr>
          <w:rFonts w:eastAsia="Times New Roman" w:cs="Times New Roman"/>
          <w:szCs w:val="24"/>
        </w:rPr>
        <w:t xml:space="preserve">  Grebner</w:t>
      </w:r>
      <w:proofErr w:type="gramEnd"/>
      <w:r w:rsidRPr="001C5D48">
        <w:rPr>
          <w:rFonts w:eastAsia="Times New Roman" w:cs="Times New Roman"/>
          <w:szCs w:val="24"/>
        </w:rPr>
        <w:t>, Morgan, Tennis, Sebolt, Polsdofer, Pratt, Maiville</w:t>
      </w:r>
    </w:p>
    <w:p w14:paraId="4626B567" w14:textId="00D4460B" w:rsidR="008C33ED" w:rsidRDefault="008C33ED" w:rsidP="008C33ED">
      <w:pPr>
        <w:spacing w:line="276" w:lineRule="auto"/>
        <w:rPr>
          <w:rFonts w:cs="Times New Roman"/>
          <w:szCs w:val="24"/>
        </w:rPr>
      </w:pPr>
      <w:r w:rsidRPr="001C5D48">
        <w:rPr>
          <w:rFonts w:eastAsia="Times New Roman" w:cs="Times New Roman"/>
          <w:szCs w:val="24"/>
        </w:rPr>
        <w:t xml:space="preserve">          </w:t>
      </w:r>
      <w:r w:rsidRPr="001C5D48">
        <w:rPr>
          <w:rFonts w:eastAsia="Times New Roman" w:cs="Times New Roman"/>
          <w:b/>
          <w:szCs w:val="24"/>
        </w:rPr>
        <w:t>Nays</w:t>
      </w:r>
      <w:proofErr w:type="gramStart"/>
      <w:r w:rsidRPr="001C5D48">
        <w:rPr>
          <w:rFonts w:eastAsia="Times New Roman" w:cs="Times New Roman"/>
          <w:b/>
          <w:szCs w:val="24"/>
        </w:rPr>
        <w:t>:</w:t>
      </w:r>
      <w:r w:rsidRPr="001C5D48">
        <w:rPr>
          <w:rFonts w:eastAsia="Times New Roman" w:cs="Times New Roman"/>
          <w:szCs w:val="24"/>
        </w:rPr>
        <w:t xml:space="preserve">  None   </w:t>
      </w:r>
      <w:proofErr w:type="gramEnd"/>
      <w:r w:rsidRPr="001C5D48">
        <w:rPr>
          <w:rFonts w:eastAsia="Times New Roman" w:cs="Times New Roman"/>
          <w:szCs w:val="24"/>
        </w:rPr>
        <w:t xml:space="preserve"> </w:t>
      </w:r>
      <w:r w:rsidRPr="001C5D48">
        <w:rPr>
          <w:rFonts w:eastAsia="Times New Roman" w:cs="Times New Roman"/>
          <w:b/>
          <w:szCs w:val="24"/>
        </w:rPr>
        <w:t>Absent:</w:t>
      </w:r>
      <w:r>
        <w:rPr>
          <w:rFonts w:eastAsia="Times New Roman" w:cs="Times New Roman"/>
          <w:b/>
          <w:szCs w:val="24"/>
        </w:rPr>
        <w:t xml:space="preserve"> </w:t>
      </w:r>
      <w:r w:rsidRPr="001C5D48">
        <w:rPr>
          <w:rFonts w:eastAsia="Times New Roman" w:cs="Times New Roman"/>
          <w:szCs w:val="24"/>
        </w:rPr>
        <w:t xml:space="preserve"> None     </w:t>
      </w:r>
      <w:proofErr w:type="gramStart"/>
      <w:r w:rsidRPr="001C5D48">
        <w:rPr>
          <w:rFonts w:eastAsia="Times New Roman" w:cs="Times New Roman"/>
          <w:b/>
          <w:bCs/>
          <w:szCs w:val="24"/>
        </w:rPr>
        <w:t>Approved</w:t>
      </w:r>
      <w:r>
        <w:rPr>
          <w:rFonts w:eastAsia="Times New Roman" w:cs="Times New Roman"/>
          <w:b/>
          <w:bCs/>
          <w:szCs w:val="24"/>
        </w:rPr>
        <w:t xml:space="preserve"> </w:t>
      </w:r>
      <w:r w:rsidRPr="001C5D48">
        <w:rPr>
          <w:rFonts w:eastAsia="Times New Roman" w:cs="Times New Roman"/>
          <w:b/>
          <w:bCs/>
          <w:szCs w:val="24"/>
        </w:rPr>
        <w:t xml:space="preserve"> 0</w:t>
      </w:r>
      <w:r>
        <w:rPr>
          <w:rFonts w:eastAsia="Times New Roman" w:cs="Times New Roman"/>
          <w:b/>
          <w:bCs/>
          <w:szCs w:val="24"/>
        </w:rPr>
        <w:t>7</w:t>
      </w:r>
      <w:proofErr w:type="gramEnd"/>
      <w:r w:rsidRPr="001C5D48">
        <w:rPr>
          <w:rFonts w:eastAsia="Times New Roman" w:cs="Times New Roman"/>
          <w:b/>
          <w:bCs/>
          <w:szCs w:val="24"/>
        </w:rPr>
        <w:t>/</w:t>
      </w:r>
      <w:r>
        <w:rPr>
          <w:rFonts w:eastAsia="Times New Roman" w:cs="Times New Roman"/>
          <w:b/>
          <w:bCs/>
          <w:szCs w:val="24"/>
        </w:rPr>
        <w:t>22</w:t>
      </w:r>
      <w:r w:rsidRPr="001C5D48">
        <w:rPr>
          <w:rFonts w:eastAsia="Times New Roman" w:cs="Times New Roman"/>
          <w:b/>
          <w:bCs/>
          <w:szCs w:val="24"/>
        </w:rPr>
        <w:t>/26</w:t>
      </w:r>
    </w:p>
    <w:p w14:paraId="7D283378" w14:textId="77777777" w:rsidR="006479E4" w:rsidRDefault="006479E4"/>
    <w:sectPr w:rsidR="006479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1A"/>
    <w:rsid w:val="0000750D"/>
    <w:rsid w:val="005F6FAD"/>
    <w:rsid w:val="006479E4"/>
    <w:rsid w:val="00891966"/>
    <w:rsid w:val="008C33ED"/>
    <w:rsid w:val="00A90DB2"/>
    <w:rsid w:val="00AA0CC8"/>
    <w:rsid w:val="00BA1F8B"/>
    <w:rsid w:val="00C06A1A"/>
    <w:rsid w:val="00DE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023A9"/>
  <w15:chartTrackingRefBased/>
  <w15:docId w15:val="{2574E95C-3D63-4C8C-B70F-02FBF48E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A1A"/>
    <w:pPr>
      <w:spacing w:after="0" w:line="240"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C06A1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6A1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6A1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6A1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06A1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06A1A"/>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06A1A"/>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06A1A"/>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06A1A"/>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A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A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A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A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A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A1A"/>
    <w:rPr>
      <w:rFonts w:eastAsiaTheme="majorEastAsia" w:cstheme="majorBidi"/>
      <w:color w:val="272727" w:themeColor="text1" w:themeTint="D8"/>
    </w:rPr>
  </w:style>
  <w:style w:type="paragraph" w:styleId="Title">
    <w:name w:val="Title"/>
    <w:basedOn w:val="Normal"/>
    <w:next w:val="Normal"/>
    <w:link w:val="TitleChar"/>
    <w:uiPriority w:val="10"/>
    <w:qFormat/>
    <w:rsid w:val="00C06A1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6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A1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6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A1A"/>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06A1A"/>
    <w:rPr>
      <w:i/>
      <w:iCs/>
      <w:color w:val="404040" w:themeColor="text1" w:themeTint="BF"/>
    </w:rPr>
  </w:style>
  <w:style w:type="paragraph" w:styleId="ListParagraph">
    <w:name w:val="List Paragraph"/>
    <w:basedOn w:val="Normal"/>
    <w:uiPriority w:val="34"/>
    <w:qFormat/>
    <w:rsid w:val="00C06A1A"/>
    <w:pPr>
      <w:spacing w:after="160"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C06A1A"/>
    <w:rPr>
      <w:i/>
      <w:iCs/>
      <w:color w:val="0F4761" w:themeColor="accent1" w:themeShade="BF"/>
    </w:rPr>
  </w:style>
  <w:style w:type="paragraph" w:styleId="IntenseQuote">
    <w:name w:val="Intense Quote"/>
    <w:basedOn w:val="Normal"/>
    <w:next w:val="Normal"/>
    <w:link w:val="IntenseQuoteChar"/>
    <w:uiPriority w:val="30"/>
    <w:qFormat/>
    <w:rsid w:val="00C06A1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06A1A"/>
    <w:rPr>
      <w:i/>
      <w:iCs/>
      <w:color w:val="0F4761" w:themeColor="accent1" w:themeShade="BF"/>
    </w:rPr>
  </w:style>
  <w:style w:type="character" w:styleId="IntenseReference">
    <w:name w:val="Intense Reference"/>
    <w:basedOn w:val="DefaultParagraphFont"/>
    <w:uiPriority w:val="32"/>
    <w:qFormat/>
    <w:rsid w:val="00C06A1A"/>
    <w:rPr>
      <w:b/>
      <w:bCs/>
      <w:smallCaps/>
      <w:color w:val="0F4761" w:themeColor="accent1" w:themeShade="BF"/>
      <w:spacing w:val="5"/>
    </w:rPr>
  </w:style>
  <w:style w:type="paragraph" w:styleId="NormalWeb">
    <w:name w:val="Normal (Web)"/>
    <w:basedOn w:val="Normal"/>
    <w:link w:val="NormalWebChar"/>
    <w:uiPriority w:val="99"/>
    <w:unhideWhenUsed/>
    <w:rsid w:val="008C33ED"/>
    <w:pPr>
      <w:spacing w:before="100" w:beforeAutospacing="1" w:after="100" w:afterAutospacing="1"/>
    </w:pPr>
    <w:rPr>
      <w:rFonts w:eastAsia="Times New Roman" w:cs="Times New Roman"/>
      <w:szCs w:val="24"/>
    </w:rPr>
  </w:style>
  <w:style w:type="character" w:customStyle="1" w:styleId="NormalWebChar">
    <w:name w:val="Normal (Web) Char"/>
    <w:link w:val="NormalWeb"/>
    <w:uiPriority w:val="99"/>
    <w:locked/>
    <w:rsid w:val="008C33E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410</Words>
  <Characters>2407</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Bennett</dc:creator>
  <cp:keywords/>
  <dc:description/>
  <cp:lastModifiedBy>Becky Bennett</cp:lastModifiedBy>
  <cp:revision>3</cp:revision>
  <dcterms:created xsi:type="dcterms:W3CDTF">2026-07-30T18:45:00Z</dcterms:created>
  <dcterms:modified xsi:type="dcterms:W3CDTF">2026-07-30T20:50:00Z</dcterms:modified>
</cp:coreProperties>
</file>